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C" w:rsidRPr="00CD7D6A" w:rsidRDefault="00E00F6C" w:rsidP="00CD7D6A">
      <w:pPr>
        <w:widowControl/>
        <w:adjustRightInd w:val="0"/>
        <w:snapToGrid w:val="0"/>
        <w:spacing w:before="100" w:beforeAutospacing="1" w:after="100" w:afterAutospacing="1" w:line="276" w:lineRule="auto"/>
        <w:jc w:val="right"/>
        <w:rPr>
          <w:rFonts w:asciiTheme="majorEastAsia" w:eastAsiaTheme="majorEastAsia" w:hAnsiTheme="majorEastAsia" w:cs="Arial"/>
          <w:color w:val="000000"/>
          <w:kern w:val="0"/>
          <w:szCs w:val="24"/>
        </w:rPr>
      </w:pPr>
      <w:r w:rsidRPr="00CD7D6A">
        <w:rPr>
          <w:rFonts w:asciiTheme="majorEastAsia" w:eastAsiaTheme="majorEastAsia" w:hAnsiTheme="majorEastAsia" w:cs="Arial"/>
          <w:color w:val="000000"/>
          <w:kern w:val="0"/>
          <w:szCs w:val="24"/>
          <w:bdr w:val="single" w:sz="4" w:space="0" w:color="auto"/>
        </w:rPr>
        <w:t>附件</w:t>
      </w:r>
      <w:r w:rsidRPr="00CD7D6A">
        <w:rPr>
          <w:rFonts w:asciiTheme="majorEastAsia" w:eastAsiaTheme="majorEastAsia" w:hAnsiTheme="majorEastAsia" w:cs="Arial" w:hint="eastAsia"/>
          <w:color w:val="000000"/>
          <w:kern w:val="0"/>
          <w:szCs w:val="24"/>
          <w:bdr w:val="single" w:sz="4" w:space="0" w:color="auto"/>
        </w:rPr>
        <w:t>九-2</w:t>
      </w:r>
    </w:p>
    <w:p w:rsidR="00E00F6C" w:rsidRPr="006F063D" w:rsidRDefault="00E00F6C" w:rsidP="00E00F6C">
      <w:pPr>
        <w:widowControl/>
        <w:tabs>
          <w:tab w:val="left" w:pos="1134"/>
          <w:tab w:val="left" w:pos="7088"/>
        </w:tabs>
        <w:snapToGrid w:val="0"/>
        <w:spacing w:line="360" w:lineRule="auto"/>
        <w:ind w:leftChars="59" w:left="1087" w:hangingChars="295" w:hanging="945"/>
        <w:jc w:val="center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  <w:r w:rsidRPr="006F063D">
        <w:rPr>
          <w:rFonts w:ascii="Arial" w:eastAsia="標楷體" w:hAnsi="Arial" w:cs="Arial"/>
          <w:b/>
          <w:color w:val="000000"/>
          <w:kern w:val="0"/>
          <w:sz w:val="32"/>
          <w:szCs w:val="32"/>
        </w:rPr>
        <w:t>台灣遊戲治療學會遊戲治療師認證辦法</w:t>
      </w:r>
    </w:p>
    <w:p w:rsidR="00E00F6C" w:rsidRPr="006F063D" w:rsidRDefault="00E00F6C" w:rsidP="00E00F6C">
      <w:pPr>
        <w:widowControl/>
        <w:tabs>
          <w:tab w:val="left" w:pos="1134"/>
          <w:tab w:val="left" w:pos="7088"/>
        </w:tabs>
        <w:snapToGrid w:val="0"/>
        <w:spacing w:line="276" w:lineRule="auto"/>
        <w:ind w:leftChars="59" w:left="732" w:rightChars="117" w:right="281" w:hangingChars="295" w:hanging="590"/>
        <w:jc w:val="right"/>
        <w:rPr>
          <w:rFonts w:ascii="Arial" w:eastAsia="標楷體" w:hAnsi="Arial" w:cs="Arial"/>
          <w:color w:val="000000"/>
          <w:kern w:val="0"/>
          <w:sz w:val="20"/>
          <w:szCs w:val="20"/>
        </w:rPr>
      </w:pP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中華民國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104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年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3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月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19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日第五屆第五次理監事會議通過</w:t>
      </w:r>
    </w:p>
    <w:p w:rsidR="00E00F6C" w:rsidRPr="006F063D" w:rsidRDefault="00E00F6C" w:rsidP="00E00F6C">
      <w:pPr>
        <w:widowControl/>
        <w:tabs>
          <w:tab w:val="left" w:pos="1134"/>
          <w:tab w:val="left" w:pos="7088"/>
        </w:tabs>
        <w:snapToGrid w:val="0"/>
        <w:spacing w:line="276" w:lineRule="auto"/>
        <w:ind w:leftChars="59" w:left="732" w:rightChars="117" w:right="281" w:hangingChars="295" w:hanging="590"/>
        <w:jc w:val="right"/>
        <w:rPr>
          <w:rFonts w:ascii="Arial" w:eastAsia="標楷體" w:hAnsi="Arial" w:cs="Arial"/>
          <w:color w:val="000000"/>
          <w:kern w:val="0"/>
          <w:sz w:val="20"/>
          <w:szCs w:val="20"/>
        </w:rPr>
      </w:pP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中華民國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104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年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9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月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19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日第五屆第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  <w:lang w:eastAsia="zh-HK"/>
        </w:rPr>
        <w:t>七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次理監事會議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  <w:lang w:eastAsia="zh-HK"/>
        </w:rPr>
        <w:t>修定</w:t>
      </w:r>
      <w:r w:rsidRPr="006F063D">
        <w:rPr>
          <w:rFonts w:ascii="Arial" w:eastAsia="標楷體" w:hAnsi="Arial" w:cs="Arial"/>
          <w:color w:val="000000"/>
          <w:kern w:val="0"/>
          <w:sz w:val="20"/>
          <w:szCs w:val="20"/>
        </w:rPr>
        <w:t>通過</w:t>
      </w:r>
    </w:p>
    <w:p w:rsidR="00E00F6C" w:rsidRPr="006F063D" w:rsidRDefault="00E00F6C" w:rsidP="00E00F6C">
      <w:pPr>
        <w:widowControl/>
        <w:tabs>
          <w:tab w:val="left" w:pos="1134"/>
          <w:tab w:val="left" w:pos="7088"/>
        </w:tabs>
        <w:snapToGrid w:val="0"/>
        <w:spacing w:line="360" w:lineRule="auto"/>
        <w:ind w:leftChars="59" w:left="791" w:hangingChars="295" w:hanging="649"/>
        <w:jc w:val="right"/>
        <w:rPr>
          <w:rFonts w:ascii="Arial" w:eastAsia="標楷體" w:hAnsi="Arial" w:cs="Arial"/>
          <w:color w:val="000000"/>
          <w:kern w:val="0"/>
          <w:sz w:val="22"/>
        </w:rPr>
      </w:pPr>
    </w:p>
    <w:p w:rsidR="00E00F6C" w:rsidRPr="006F063D" w:rsidRDefault="00E00F6C" w:rsidP="00E00F6C">
      <w:pPr>
        <w:widowControl/>
        <w:numPr>
          <w:ilvl w:val="0"/>
          <w:numId w:val="8"/>
        </w:numPr>
        <w:tabs>
          <w:tab w:val="left" w:pos="1134"/>
          <w:tab w:val="left" w:pos="7088"/>
        </w:tabs>
        <w:snapToGrid w:val="0"/>
        <w:spacing w:line="360" w:lineRule="auto"/>
        <w:ind w:left="1134" w:hanging="992"/>
        <w:rPr>
          <w:rFonts w:ascii="Arial" w:eastAsia="標楷體" w:hAnsi="Arial" w:cs="Arial"/>
          <w:color w:val="000000"/>
          <w:kern w:val="0"/>
          <w:sz w:val="22"/>
        </w:rPr>
      </w:pPr>
      <w:bookmarkStart w:id="0" w:name="_GoBack"/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為提升遊戲治療</w:t>
      </w:r>
      <w:proofErr w:type="gramStart"/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師專業知能</w:t>
      </w:r>
      <w:proofErr w:type="gramEnd"/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，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建立遊戲治療師教育及督導的標準，以保障當事人之福祉，特訂定「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台灣遊戲治療學會遊戲治療師認證辦法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」（以下簡稱本辦法）。</w:t>
      </w:r>
    </w:p>
    <w:p w:rsidR="00E00F6C" w:rsidRPr="006F063D" w:rsidRDefault="00E00F6C" w:rsidP="00E00F6C">
      <w:pPr>
        <w:widowControl/>
        <w:numPr>
          <w:ilvl w:val="0"/>
          <w:numId w:val="8"/>
        </w:numPr>
        <w:tabs>
          <w:tab w:val="left" w:pos="1134"/>
          <w:tab w:val="left" w:pos="7088"/>
        </w:tabs>
        <w:snapToGrid w:val="0"/>
        <w:spacing w:line="360" w:lineRule="auto"/>
        <w:ind w:left="1134" w:hanging="992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分級：遊戲治療師依其與遊戲治療相關之最高學位區分為學士級、碩士級、博士級。</w:t>
      </w:r>
    </w:p>
    <w:bookmarkEnd w:id="0"/>
    <w:p w:rsidR="00E00F6C" w:rsidRPr="006F063D" w:rsidRDefault="00E00F6C" w:rsidP="00E00F6C">
      <w:pPr>
        <w:widowControl/>
        <w:numPr>
          <w:ilvl w:val="0"/>
          <w:numId w:val="8"/>
        </w:numPr>
        <w:tabs>
          <w:tab w:val="left" w:pos="1134"/>
          <w:tab w:val="left" w:pos="7088"/>
        </w:tabs>
        <w:snapToGrid w:val="0"/>
        <w:spacing w:line="360" w:lineRule="auto"/>
        <w:ind w:left="1134" w:hanging="992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欲申請遊戲治療師認證者</w:t>
      </w:r>
      <w:r w:rsidRPr="006F063D">
        <w:rPr>
          <w:rFonts w:ascii="Arial" w:eastAsia="標楷體" w:hAnsi="Arial" w:cs="Arial"/>
          <w:color w:val="000000"/>
          <w:kern w:val="0"/>
          <w:sz w:val="22"/>
          <w:lang w:eastAsia="zh-HK"/>
        </w:rPr>
        <w:t>須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符合以下條件：</w:t>
      </w:r>
    </w:p>
    <w:p w:rsidR="00E00F6C" w:rsidRPr="006F063D" w:rsidRDefault="00E00F6C" w:rsidP="00E00F6C">
      <w:pPr>
        <w:widowControl/>
        <w:numPr>
          <w:ilvl w:val="0"/>
          <w:numId w:val="9"/>
        </w:numPr>
        <w:tabs>
          <w:tab w:val="left" w:pos="709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536"/>
          <w:tab w:val="left" w:pos="4820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</w:tabs>
        <w:snapToGrid w:val="0"/>
        <w:spacing w:line="360" w:lineRule="auto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申請人必須為本會一般會員或專業會員。</w:t>
      </w:r>
    </w:p>
    <w:p w:rsidR="00E00F6C" w:rsidRPr="006F063D" w:rsidRDefault="00E00F6C" w:rsidP="00E00F6C">
      <w:pPr>
        <w:widowControl/>
        <w:numPr>
          <w:ilvl w:val="0"/>
          <w:numId w:val="9"/>
        </w:numPr>
        <w:tabs>
          <w:tab w:val="left" w:pos="709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536"/>
          <w:tab w:val="left" w:pos="4820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</w:tabs>
        <w:snapToGrid w:val="0"/>
        <w:spacing w:line="360" w:lineRule="auto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畢業系所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要求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：申請人需具有國內外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認可之心理、諮商、復健（職能）、社工、醫療、公衛、教育等相關系所畢業，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核定修畢特定課程始得申請。</w:t>
      </w:r>
    </w:p>
    <w:p w:rsidR="00E00F6C" w:rsidRPr="006F063D" w:rsidRDefault="00E00F6C" w:rsidP="00E00F6C">
      <w:pPr>
        <w:widowControl/>
        <w:numPr>
          <w:ilvl w:val="0"/>
          <w:numId w:val="9"/>
        </w:numPr>
        <w:tabs>
          <w:tab w:val="left" w:pos="709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536"/>
          <w:tab w:val="left" w:pos="4820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</w:tabs>
        <w:snapToGrid w:val="0"/>
        <w:spacing w:line="360" w:lineRule="auto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基礎課程要求：申請人必須修畢下列課程：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1.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兒童發展；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2.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人格理論；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3.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心理治療理論；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4.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兒童及青少年心理議題；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5.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法律、倫理及專業議題。</w:t>
      </w:r>
    </w:p>
    <w:p w:rsidR="00E00F6C" w:rsidRPr="006F063D" w:rsidRDefault="00E00F6C" w:rsidP="00E00F6C">
      <w:pPr>
        <w:widowControl/>
        <w:numPr>
          <w:ilvl w:val="0"/>
          <w:numId w:val="9"/>
        </w:numPr>
        <w:tabs>
          <w:tab w:val="left" w:pos="709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536"/>
          <w:tab w:val="left" w:pos="4820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</w:tabs>
        <w:snapToGrid w:val="0"/>
        <w:spacing w:line="360" w:lineRule="auto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與遊戲治療相關課程要求：</w:t>
      </w:r>
    </w:p>
    <w:p w:rsidR="00E00F6C" w:rsidRPr="006F063D" w:rsidRDefault="00E00F6C" w:rsidP="00E00F6C">
      <w:pPr>
        <w:widowControl/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1134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申請人必須已接受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150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小時遊戲治療的課程訓練，課程內容須含</w:t>
      </w:r>
      <w:proofErr w:type="gramStart"/>
      <w:r w:rsidRPr="006F063D">
        <w:rPr>
          <w:rFonts w:ascii="Arial" w:eastAsia="標楷體" w:hAnsi="Arial" w:cs="Arial"/>
          <w:color w:val="000000"/>
          <w:kern w:val="0"/>
          <w:sz w:val="22"/>
        </w:rPr>
        <w:t>括</w:t>
      </w:r>
      <w:proofErr w:type="gramEnd"/>
      <w:r w:rsidRPr="006F063D">
        <w:rPr>
          <w:rFonts w:ascii="Arial" w:eastAsia="標楷體" w:hAnsi="Arial" w:cs="Arial"/>
          <w:color w:val="000000"/>
          <w:kern w:val="0"/>
          <w:sz w:val="22"/>
        </w:rPr>
        <w:t>：</w:t>
      </w:r>
    </w:p>
    <w:p w:rsidR="00E00F6C" w:rsidRPr="006F063D" w:rsidRDefault="00E00F6C" w:rsidP="00E00F6C">
      <w:pPr>
        <w:widowControl/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1134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1.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遊戲治療概論或遊戲治療發展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(4-5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小時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)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；</w:t>
      </w:r>
    </w:p>
    <w:p w:rsidR="00E00F6C" w:rsidRPr="006F063D" w:rsidRDefault="00E00F6C" w:rsidP="00E00F6C">
      <w:pPr>
        <w:widowControl/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1134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2.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遊戲治療的相關理論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(40-50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小時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)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；</w:t>
      </w:r>
    </w:p>
    <w:p w:rsidR="00E00F6C" w:rsidRPr="006F063D" w:rsidRDefault="00E00F6C" w:rsidP="00E00F6C">
      <w:pPr>
        <w:widowControl/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1134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3.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遊戲治療的技巧與方法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(40-50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小時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)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；</w:t>
      </w:r>
    </w:p>
    <w:p w:rsidR="00E00F6C" w:rsidRPr="006F063D" w:rsidRDefault="00E00F6C" w:rsidP="00E00F6C">
      <w:pPr>
        <w:widowControl/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1134"/>
        <w:rPr>
          <w:rFonts w:ascii="Arial" w:eastAsia="標楷體" w:hAnsi="Arial" w:cs="Arial"/>
          <w:color w:val="000000"/>
          <w:kern w:val="0"/>
          <w:sz w:val="22"/>
          <w:szCs w:val="28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4.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遊戲治療於特殊族群或相關議題的應用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(40-50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小時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)</w:t>
      </w: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。</w:t>
      </w:r>
    </w:p>
    <w:p w:rsidR="00E00F6C" w:rsidRPr="006F063D" w:rsidRDefault="00E00F6C" w:rsidP="00E00F6C">
      <w:pPr>
        <w:widowControl/>
        <w:numPr>
          <w:ilvl w:val="0"/>
          <w:numId w:val="9"/>
        </w:numPr>
        <w:tabs>
          <w:tab w:val="left" w:pos="709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536"/>
          <w:tab w:val="left" w:pos="4820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</w:tabs>
        <w:snapToGrid w:val="0"/>
        <w:spacing w:line="360" w:lineRule="auto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申請人必須擁有兩年被督導的臨床經驗，提供至少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500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小時受督導下直接服務的臨床經驗。其中至少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50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小時的遊戲治療個別督導時間，並完成遊戲治療個案報告一篇。</w:t>
      </w:r>
    </w:p>
    <w:p w:rsidR="00E00F6C" w:rsidRPr="006F063D" w:rsidRDefault="00E00F6C" w:rsidP="00E00F6C">
      <w:pPr>
        <w:widowControl/>
        <w:numPr>
          <w:ilvl w:val="0"/>
          <w:numId w:val="8"/>
        </w:numPr>
        <w:tabs>
          <w:tab w:val="left" w:pos="1134"/>
          <w:tab w:val="left" w:pos="7088"/>
        </w:tabs>
        <w:snapToGrid w:val="0"/>
        <w:spacing w:line="360" w:lineRule="auto"/>
        <w:ind w:left="1134" w:hanging="992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  <w:szCs w:val="28"/>
        </w:rPr>
        <w:t>繼續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教育要求：受認證者在通過認證後，仍須掌握此領域最新相關訊息，每六年必須完成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60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小時經本會認可之繼續教育課程。</w:t>
      </w:r>
    </w:p>
    <w:p w:rsidR="00E00F6C" w:rsidRPr="006F063D" w:rsidRDefault="00E00F6C" w:rsidP="00E00F6C">
      <w:pPr>
        <w:widowControl/>
        <w:numPr>
          <w:ilvl w:val="0"/>
          <w:numId w:val="8"/>
        </w:numPr>
        <w:tabs>
          <w:tab w:val="left" w:pos="1134"/>
          <w:tab w:val="left" w:pos="7088"/>
        </w:tabs>
        <w:snapToGrid w:val="0"/>
        <w:spacing w:line="360" w:lineRule="auto"/>
        <w:ind w:left="1134" w:hanging="992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申請遊戲治療師認證，需繳交下列文件影本：</w:t>
      </w:r>
    </w:p>
    <w:p w:rsidR="00E00F6C" w:rsidRPr="006F063D" w:rsidRDefault="00E00F6C" w:rsidP="00E00F6C">
      <w:pPr>
        <w:widowControl/>
        <w:numPr>
          <w:ilvl w:val="0"/>
          <w:numId w:val="10"/>
        </w:numPr>
        <w:snapToGrid w:val="0"/>
        <w:spacing w:line="360" w:lineRule="auto"/>
        <w:ind w:left="1276" w:rightChars="-24" w:right="-58"/>
        <w:jc w:val="both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申請書</w:t>
      </w:r>
    </w:p>
    <w:p w:rsidR="00E00F6C" w:rsidRPr="006F063D" w:rsidRDefault="00E00F6C" w:rsidP="00E00F6C">
      <w:pPr>
        <w:widowControl/>
        <w:numPr>
          <w:ilvl w:val="0"/>
          <w:numId w:val="10"/>
        </w:numPr>
        <w:snapToGrid w:val="0"/>
        <w:spacing w:line="360" w:lineRule="auto"/>
        <w:ind w:left="1276" w:rightChars="-24" w:right="-58"/>
        <w:jc w:val="both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與遊戲治療相關之最高學位畢業證書。</w:t>
      </w:r>
    </w:p>
    <w:p w:rsidR="00E00F6C" w:rsidRPr="006F063D" w:rsidRDefault="00E00F6C" w:rsidP="00E00F6C">
      <w:pPr>
        <w:widowControl/>
        <w:numPr>
          <w:ilvl w:val="0"/>
          <w:numId w:val="10"/>
        </w:numPr>
        <w:snapToGrid w:val="0"/>
        <w:spacing w:line="360" w:lineRule="auto"/>
        <w:ind w:left="1276" w:rightChars="-24" w:right="-58"/>
        <w:jc w:val="both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修課成績單或完成研習時數證明。</w:t>
      </w:r>
    </w:p>
    <w:p w:rsidR="00E00F6C" w:rsidRPr="006F063D" w:rsidRDefault="00E00F6C" w:rsidP="00E00F6C">
      <w:pPr>
        <w:widowControl/>
        <w:numPr>
          <w:ilvl w:val="0"/>
          <w:numId w:val="10"/>
        </w:numPr>
        <w:snapToGrid w:val="0"/>
        <w:spacing w:line="360" w:lineRule="auto"/>
        <w:ind w:left="1276" w:rightChars="-24" w:right="-58"/>
        <w:jc w:val="both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lastRenderedPageBreak/>
        <w:t>從事遊戲治療實務工作經驗證明。</w:t>
      </w:r>
    </w:p>
    <w:p w:rsidR="00E00F6C" w:rsidRPr="006F063D" w:rsidRDefault="00E00F6C" w:rsidP="00E00F6C">
      <w:pPr>
        <w:widowControl/>
        <w:numPr>
          <w:ilvl w:val="0"/>
          <w:numId w:val="10"/>
        </w:numPr>
        <w:snapToGrid w:val="0"/>
        <w:spacing w:line="360" w:lineRule="auto"/>
        <w:ind w:left="1276" w:rightChars="-24" w:right="-58"/>
        <w:jc w:val="both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接受督導之經驗證明（含遊戲治療督導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50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小時證明）。</w:t>
      </w:r>
    </w:p>
    <w:p w:rsidR="00E00F6C" w:rsidRPr="006F063D" w:rsidRDefault="00E00F6C" w:rsidP="00E00F6C">
      <w:pPr>
        <w:widowControl/>
        <w:numPr>
          <w:ilvl w:val="0"/>
          <w:numId w:val="8"/>
        </w:numPr>
        <w:tabs>
          <w:tab w:val="left" w:pos="1134"/>
          <w:tab w:val="left" w:pos="7088"/>
        </w:tabs>
        <w:snapToGrid w:val="0"/>
        <w:spacing w:line="360" w:lineRule="auto"/>
        <w:ind w:left="1134" w:hanging="992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認證費用，酌收工本費新臺幣參佰元，經本會受理審查之申請案件，不論通過與否均不予退費。</w:t>
      </w:r>
    </w:p>
    <w:p w:rsidR="00E00F6C" w:rsidRPr="006F063D" w:rsidRDefault="00E00F6C" w:rsidP="00E00F6C">
      <w:pPr>
        <w:widowControl/>
        <w:numPr>
          <w:ilvl w:val="0"/>
          <w:numId w:val="8"/>
        </w:numPr>
        <w:tabs>
          <w:tab w:val="left" w:pos="1134"/>
          <w:tab w:val="left" w:pos="7088"/>
        </w:tabs>
        <w:snapToGrid w:val="0"/>
        <w:spacing w:line="360" w:lineRule="auto"/>
        <w:ind w:left="1134" w:hanging="992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遊戲治療師認證作業由本會專業認證委員會進行審查，經理事會通過，完成認證後公告於本會網頁。</w:t>
      </w:r>
    </w:p>
    <w:p w:rsidR="00E00F6C" w:rsidRPr="006F063D" w:rsidRDefault="00E00F6C" w:rsidP="00E00F6C">
      <w:pPr>
        <w:widowControl/>
        <w:numPr>
          <w:ilvl w:val="0"/>
          <w:numId w:val="8"/>
        </w:numPr>
        <w:tabs>
          <w:tab w:val="left" w:pos="1134"/>
          <w:tab w:val="left" w:pos="7088"/>
        </w:tabs>
        <w:snapToGrid w:val="0"/>
        <w:spacing w:line="360" w:lineRule="auto"/>
        <w:ind w:left="1134" w:hanging="992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本會認證之遊戲治療師應遵守本會倫理守則。若有違反倫理情事，經本會專業倫理委員會審理調查決議成立時，即撤銷遊戲治療師資格，並公告於本會網頁。</w:t>
      </w:r>
    </w:p>
    <w:p w:rsidR="00E00F6C" w:rsidRPr="006F063D" w:rsidRDefault="00E00F6C" w:rsidP="00E00F6C">
      <w:pPr>
        <w:widowControl/>
        <w:numPr>
          <w:ilvl w:val="0"/>
          <w:numId w:val="8"/>
        </w:numPr>
        <w:tabs>
          <w:tab w:val="left" w:pos="1134"/>
          <w:tab w:val="left" w:pos="7088"/>
        </w:tabs>
        <w:snapToGrid w:val="0"/>
        <w:spacing w:line="360" w:lineRule="auto"/>
        <w:ind w:left="1134" w:hanging="992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本會認證之遊戲治療師每六年須換證一次，認證有效期限逾期前未申請換證者，須依本辦法重新申請認證。申請換證者，應於本會遊戲治療師認證有效期限屆滿前三</w:t>
      </w:r>
      <w:proofErr w:type="gramStart"/>
      <w:r w:rsidRPr="006F063D">
        <w:rPr>
          <w:rFonts w:ascii="Arial" w:eastAsia="標楷體" w:hAnsi="Arial" w:cs="Arial"/>
          <w:color w:val="000000"/>
          <w:kern w:val="0"/>
          <w:sz w:val="22"/>
        </w:rPr>
        <w:t>個</w:t>
      </w:r>
      <w:proofErr w:type="gramEnd"/>
      <w:r w:rsidRPr="006F063D">
        <w:rPr>
          <w:rFonts w:ascii="Arial" w:eastAsia="標楷體" w:hAnsi="Arial" w:cs="Arial"/>
          <w:color w:val="000000"/>
          <w:kern w:val="0"/>
          <w:sz w:val="22"/>
        </w:rPr>
        <w:t>月內提出申請並繳交換證日之前六年期間教授或研習遊戲治療課程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60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小時（含）以上文件之影本，及繳交換證費用新臺幣貳佰伍拾元。</w:t>
      </w:r>
    </w:p>
    <w:p w:rsidR="00E00F6C" w:rsidRPr="006F063D" w:rsidRDefault="00E00F6C" w:rsidP="005F2191">
      <w:pPr>
        <w:widowControl/>
        <w:numPr>
          <w:ilvl w:val="0"/>
          <w:numId w:val="8"/>
        </w:numPr>
        <w:tabs>
          <w:tab w:val="left" w:pos="1134"/>
          <w:tab w:val="left" w:pos="7088"/>
        </w:tabs>
        <w:snapToGrid w:val="0"/>
        <w:spacing w:line="360" w:lineRule="auto"/>
        <w:ind w:left="1134" w:hanging="992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本辦法經理監事會議討論通過後實施。</w:t>
      </w:r>
    </w:p>
    <w:sectPr w:rsidR="00E00F6C" w:rsidRPr="006F063D" w:rsidSect="005F2191">
      <w:footerReference w:type="default" r:id="rId8"/>
      <w:pgSz w:w="11906" w:h="16838" w:code="9"/>
      <w:pgMar w:top="851" w:right="1134" w:bottom="851" w:left="1134" w:header="720" w:footer="720" w:gutter="0"/>
      <w:pgNumType w:start="1"/>
      <w:cols w:space="720" w:equalWidth="0">
        <w:col w:w="897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91" w:rsidRDefault="005F2191">
      <w:r>
        <w:separator/>
      </w:r>
    </w:p>
  </w:endnote>
  <w:endnote w:type="continuationSeparator" w:id="0">
    <w:p w:rsidR="005F2191" w:rsidRDefault="005F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1" w:rsidRDefault="005F2191">
    <w:pPr>
      <w:jc w:val="center"/>
    </w:pPr>
    <w:r>
      <w:fldChar w:fldCharType="begin"/>
    </w:r>
    <w:r>
      <w:instrText>PAGE</w:instrText>
    </w:r>
    <w:r>
      <w:fldChar w:fldCharType="separate"/>
    </w:r>
    <w:r w:rsidR="00170029">
      <w:rPr>
        <w:noProof/>
      </w:rPr>
      <w:t>1</w:t>
    </w:r>
    <w:r>
      <w:fldChar w:fldCharType="end"/>
    </w:r>
  </w:p>
  <w:p w:rsidR="005F2191" w:rsidRDefault="005F2191">
    <w:pPr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91" w:rsidRDefault="005F2191">
      <w:r>
        <w:separator/>
      </w:r>
    </w:p>
  </w:footnote>
  <w:footnote w:type="continuationSeparator" w:id="0">
    <w:p w:rsidR="005F2191" w:rsidRDefault="005F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483"/>
    <w:multiLevelType w:val="hybridMultilevel"/>
    <w:tmpl w:val="5DE47858"/>
    <w:lvl w:ilvl="0" w:tplc="AF86375C">
      <w:start w:val="1"/>
      <w:numFmt w:val="taiwaneseCountingThousand"/>
      <w:lvlText w:val="（%1）"/>
      <w:lvlJc w:val="left"/>
      <w:pPr>
        <w:ind w:left="161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  <w:rPr>
        <w:rFonts w:cs="Times New Roman"/>
      </w:rPr>
    </w:lvl>
  </w:abstractNum>
  <w:abstractNum w:abstractNumId="1">
    <w:nsid w:val="1247533D"/>
    <w:multiLevelType w:val="hybridMultilevel"/>
    <w:tmpl w:val="7A323F70"/>
    <w:lvl w:ilvl="0" w:tplc="5880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F84EFD"/>
    <w:multiLevelType w:val="hybridMultilevel"/>
    <w:tmpl w:val="E668E28C"/>
    <w:lvl w:ilvl="0" w:tplc="0409000F">
      <w:start w:val="1"/>
      <w:numFmt w:val="decimal"/>
      <w:lvlText w:val="%1."/>
      <w:lvlJc w:val="left"/>
      <w:pPr>
        <w:ind w:left="20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  <w:rPr>
        <w:rFonts w:cs="Times New Roman"/>
      </w:rPr>
    </w:lvl>
  </w:abstractNum>
  <w:abstractNum w:abstractNumId="3">
    <w:nsid w:val="233267C2"/>
    <w:multiLevelType w:val="hybridMultilevel"/>
    <w:tmpl w:val="3F54CDAC"/>
    <w:lvl w:ilvl="0" w:tplc="FC2CC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1780B5A"/>
    <w:multiLevelType w:val="hybridMultilevel"/>
    <w:tmpl w:val="AFA61B98"/>
    <w:lvl w:ilvl="0" w:tplc="287213CA">
      <w:start w:val="1"/>
      <w:numFmt w:val="taiwaneseCountingThousand"/>
      <w:lvlText w:val="%1、"/>
      <w:lvlJc w:val="left"/>
      <w:pPr>
        <w:ind w:left="13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5">
    <w:nsid w:val="37480636"/>
    <w:multiLevelType w:val="hybridMultilevel"/>
    <w:tmpl w:val="E668E28C"/>
    <w:lvl w:ilvl="0" w:tplc="0409000F">
      <w:start w:val="1"/>
      <w:numFmt w:val="decimal"/>
      <w:lvlText w:val="%1."/>
      <w:lvlJc w:val="left"/>
      <w:pPr>
        <w:ind w:left="20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  <w:rPr>
        <w:rFonts w:cs="Times New Roman"/>
      </w:rPr>
    </w:lvl>
  </w:abstractNum>
  <w:abstractNum w:abstractNumId="6">
    <w:nsid w:val="446C2760"/>
    <w:multiLevelType w:val="hybridMultilevel"/>
    <w:tmpl w:val="C366C478"/>
    <w:lvl w:ilvl="0" w:tplc="37F6693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3E46FD"/>
    <w:multiLevelType w:val="hybridMultilevel"/>
    <w:tmpl w:val="FE128B3A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">
    <w:nsid w:val="6A440DA4"/>
    <w:multiLevelType w:val="hybridMultilevel"/>
    <w:tmpl w:val="FE128B3A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9">
    <w:nsid w:val="6A447688"/>
    <w:multiLevelType w:val="hybridMultilevel"/>
    <w:tmpl w:val="3EF80676"/>
    <w:lvl w:ilvl="0" w:tplc="37F66932">
      <w:start w:val="1"/>
      <w:numFmt w:val="taiwaneseCountingThousand"/>
      <w:lvlText w:val="第%1條"/>
      <w:lvlJc w:val="left"/>
      <w:pPr>
        <w:ind w:left="622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0">
    <w:nsid w:val="6D3963CD"/>
    <w:multiLevelType w:val="hybridMultilevel"/>
    <w:tmpl w:val="EEA604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0717C34"/>
    <w:multiLevelType w:val="hybridMultilevel"/>
    <w:tmpl w:val="7A323F70"/>
    <w:lvl w:ilvl="0" w:tplc="5880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C9D62FE"/>
    <w:multiLevelType w:val="hybridMultilevel"/>
    <w:tmpl w:val="07AA4C5E"/>
    <w:lvl w:ilvl="0" w:tplc="12CA57BA">
      <w:start w:val="1"/>
      <w:numFmt w:val="taiwaneseCountingThousand"/>
      <w:lvlText w:val="%1、"/>
      <w:lvlJc w:val="left"/>
      <w:pPr>
        <w:ind w:left="134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C"/>
    <w:rsid w:val="00170029"/>
    <w:rsid w:val="003B2249"/>
    <w:rsid w:val="005F2191"/>
    <w:rsid w:val="00C65143"/>
    <w:rsid w:val="00CD7D6A"/>
    <w:rsid w:val="00E00F6C"/>
    <w:rsid w:val="00E1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D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D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2016-09-23T08:49:00Z</dcterms:created>
  <dcterms:modified xsi:type="dcterms:W3CDTF">2016-11-16T05:45:00Z</dcterms:modified>
</cp:coreProperties>
</file>