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2" w:rsidRPr="009A2BB6" w:rsidRDefault="00050AF2" w:rsidP="00050AF2">
      <w:pPr>
        <w:widowControl/>
        <w:jc w:val="center"/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</w:pPr>
      <w:r w:rsidRPr="009A2BB6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學位課程抵遊戲治療專業時數之課程內容</w:t>
      </w:r>
    </w:p>
    <w:p w:rsidR="00050AF2" w:rsidRDefault="006F5B90" w:rsidP="006F5B90">
      <w:pPr>
        <w:tabs>
          <w:tab w:val="left" w:pos="1134"/>
          <w:tab w:val="left" w:pos="7088"/>
        </w:tabs>
        <w:snapToGrid w:val="0"/>
        <w:ind w:leftChars="59" w:left="720" w:rightChars="117" w:right="257" w:hangingChars="295" w:hanging="590"/>
        <w:jc w:val="right"/>
        <w:rPr>
          <w:rFonts w:ascii="標楷體" w:eastAsia="標楷體" w:hAnsi="標楷體"/>
          <w:color w:val="auto"/>
          <w:sz w:val="20"/>
          <w:szCs w:val="20"/>
        </w:rPr>
      </w:pPr>
      <w:r w:rsidRPr="006E036F">
        <w:rPr>
          <w:rFonts w:ascii="標楷體" w:eastAsia="標楷體" w:hAnsi="標楷體" w:hint="eastAsia"/>
          <w:color w:val="auto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auto"/>
          <w:sz w:val="20"/>
          <w:szCs w:val="20"/>
        </w:rPr>
        <w:t>109</w:t>
      </w:r>
      <w:r w:rsidRPr="006E036F">
        <w:rPr>
          <w:rFonts w:ascii="標楷體" w:eastAsia="標楷體" w:hAnsi="標楷體" w:hint="eastAsia"/>
          <w:color w:val="auto"/>
          <w:sz w:val="20"/>
          <w:szCs w:val="20"/>
        </w:rPr>
        <w:t>年</w:t>
      </w:r>
      <w:r>
        <w:rPr>
          <w:rFonts w:ascii="標楷體" w:eastAsia="標楷體" w:hAnsi="標楷體" w:hint="eastAsia"/>
          <w:color w:val="auto"/>
          <w:sz w:val="20"/>
          <w:szCs w:val="20"/>
        </w:rPr>
        <w:t>9</w:t>
      </w:r>
      <w:r w:rsidRPr="006E036F">
        <w:rPr>
          <w:rFonts w:ascii="標楷體" w:eastAsia="標楷體" w:hAnsi="標楷體" w:hint="eastAsia"/>
          <w:color w:val="auto"/>
          <w:sz w:val="20"/>
          <w:szCs w:val="20"/>
        </w:rPr>
        <w:t>月</w:t>
      </w:r>
      <w:r>
        <w:rPr>
          <w:rFonts w:ascii="標楷體" w:eastAsia="標楷體" w:hAnsi="標楷體" w:hint="eastAsia"/>
          <w:color w:val="auto"/>
          <w:sz w:val="20"/>
          <w:szCs w:val="20"/>
        </w:rPr>
        <w:t>27</w:t>
      </w:r>
      <w:r>
        <w:rPr>
          <w:rFonts w:ascii="標楷體" w:eastAsia="標楷體" w:hAnsi="標楷體" w:hint="eastAsia"/>
          <w:color w:val="auto"/>
          <w:sz w:val="20"/>
          <w:szCs w:val="20"/>
        </w:rPr>
        <w:t>日第八屆第四次理監事會議</w:t>
      </w:r>
      <w:r w:rsidRPr="006E036F">
        <w:rPr>
          <w:rFonts w:ascii="標楷體" w:eastAsia="標楷體" w:hAnsi="標楷體" w:hint="eastAsia"/>
          <w:color w:val="auto"/>
          <w:sz w:val="20"/>
          <w:szCs w:val="20"/>
        </w:rPr>
        <w:t>通過</w:t>
      </w:r>
    </w:p>
    <w:p w:rsidR="006F5B90" w:rsidRPr="006F5B90" w:rsidRDefault="006F5B90" w:rsidP="006F5B90">
      <w:pPr>
        <w:tabs>
          <w:tab w:val="left" w:pos="1134"/>
          <w:tab w:val="left" w:pos="7088"/>
        </w:tabs>
        <w:snapToGrid w:val="0"/>
        <w:ind w:leftChars="59" w:left="720" w:rightChars="117" w:right="257" w:hangingChars="295" w:hanging="590"/>
        <w:jc w:val="right"/>
        <w:rPr>
          <w:rFonts w:ascii="標楷體" w:eastAsia="標楷體" w:hAnsi="標楷體" w:hint="eastAsia"/>
          <w:color w:val="auto"/>
          <w:sz w:val="20"/>
          <w:szCs w:val="20"/>
        </w:rPr>
      </w:pPr>
      <w:r>
        <w:rPr>
          <w:rFonts w:ascii="標楷體" w:eastAsia="標楷體" w:hAnsi="標楷體"/>
          <w:color w:val="auto"/>
          <w:sz w:val="20"/>
          <w:szCs w:val="20"/>
        </w:rPr>
        <w:tab/>
      </w:r>
    </w:p>
    <w:p w:rsidR="00050AF2" w:rsidRDefault="00050AF2" w:rsidP="00050AF2">
      <w:pPr>
        <w:pStyle w:val="a3"/>
        <w:widowControl/>
        <w:numPr>
          <w:ilvl w:val="0"/>
          <w:numId w:val="3"/>
        </w:numPr>
        <w:spacing w:line="240" w:lineRule="auto"/>
        <w:ind w:leftChars="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依據：根據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109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6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月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14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日第三次理監事會議決議，已獲國內外碩士或博士學位，課程訓練及實務皆以遊戲治療為主，加入本會三年以上，對學會有相當的熟悉度，在教育</w:t>
      </w:r>
      <w:bookmarkStart w:id="0" w:name="_GoBack"/>
      <w:bookmarkEnd w:id="0"/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部認可之國內外完成</w:t>
      </w:r>
      <w:proofErr w:type="gramStart"/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碩</w:t>
      </w:r>
      <w:proofErr w:type="gramEnd"/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博學位，以遊戲治療為專長主修者，且能提供在學曾修習之遊戲治療相關課程至少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12 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含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之成績單及課程概述說明，並符合本會各向度認證標準者，得以經審核後</w:t>
      </w:r>
      <w:proofErr w:type="gramStart"/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採計本</w:t>
      </w:r>
      <w:proofErr w:type="gramEnd"/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會遊戲治療專業學分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150 </w:t>
      </w:r>
      <w:r w:rsidRPr="009A2BB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小時之認證時數。</w:t>
      </w:r>
    </w:p>
    <w:p w:rsidR="00050AF2" w:rsidRPr="007401B9" w:rsidRDefault="00050AF2" w:rsidP="00050AF2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050AF2" w:rsidRPr="00050AF2" w:rsidRDefault="00050AF2" w:rsidP="00050AF2">
      <w:pPr>
        <w:pStyle w:val="a3"/>
        <w:widowControl/>
        <w:numPr>
          <w:ilvl w:val="0"/>
          <w:numId w:val="3"/>
        </w:numPr>
        <w:spacing w:line="240" w:lineRule="auto"/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050AF2">
        <w:rPr>
          <w:rFonts w:ascii="標楷體" w:eastAsia="標楷體" w:hAnsi="標楷體" w:cs="Times New Roman"/>
          <w:color w:val="auto"/>
          <w:sz w:val="24"/>
          <w:szCs w:val="24"/>
        </w:rPr>
        <w:t>原150小時課程分類說明及時數要求：</w:t>
      </w:r>
      <w:r w:rsidRPr="00050AF2">
        <w:rPr>
          <w:rFonts w:ascii="標楷體" w:eastAsia="標楷體" w:hAnsi="標楷體" w:cs="Times New Roman" w:hint="eastAsia"/>
          <w:color w:val="auto"/>
          <w:sz w:val="24"/>
          <w:szCs w:val="24"/>
        </w:rPr>
        <w:t>會議中討論後，認證組修正版本如下。</w:t>
      </w:r>
    </w:p>
    <w:p w:rsidR="00050AF2" w:rsidRDefault="00050AF2" w:rsidP="00050AF2">
      <w:pPr>
        <w:ind w:leftChars="-295" w:left="-118" w:rightChars="-260" w:right="-572" w:hangingChars="221" w:hanging="531"/>
        <w:jc w:val="center"/>
        <w:rPr>
          <w:rFonts w:ascii="標楷體" w:eastAsia="標楷體" w:hAnsi="標楷體"/>
          <w:b/>
          <w:bCs/>
          <w:color w:val="000000" w:themeColor="text1"/>
          <w:sz w:val="24"/>
          <w:szCs w:val="24"/>
        </w:rPr>
      </w:pPr>
    </w:p>
    <w:p w:rsidR="00050AF2" w:rsidRPr="00E03090" w:rsidRDefault="00050AF2" w:rsidP="00050AF2">
      <w:pPr>
        <w:ind w:leftChars="-295" w:left="-118" w:rightChars="-260" w:right="-572" w:hangingChars="221" w:hanging="531"/>
        <w:jc w:val="center"/>
        <w:rPr>
          <w:rFonts w:ascii="標楷體" w:eastAsia="標楷體" w:hAnsi="標楷體"/>
          <w:b/>
          <w:bCs/>
          <w:color w:val="000000" w:themeColor="text1"/>
          <w:sz w:val="24"/>
          <w:szCs w:val="24"/>
        </w:rPr>
      </w:pPr>
      <w:r w:rsidRPr="00E03090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【遊戲治療專業人員認證課程分類定義及學期制遊療課程對照表】</w:t>
      </w:r>
    </w:p>
    <w:p w:rsidR="00050AF2" w:rsidRPr="00E03090" w:rsidRDefault="00050AF2" w:rsidP="00050AF2">
      <w:pPr>
        <w:ind w:leftChars="-295" w:left="-118" w:rightChars="-260" w:right="-572" w:hangingChars="221" w:hanging="531"/>
        <w:rPr>
          <w:rFonts w:ascii="標楷體" w:eastAsia="標楷體" w:hAnsi="標楷體"/>
          <w:b/>
          <w:bCs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（一）</w:t>
      </w:r>
      <w:r w:rsidRPr="00E03090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遊戲治療認證課程分類及定義</w:t>
      </w: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5245"/>
      </w:tblGrid>
      <w:tr w:rsidR="00050AF2" w:rsidRPr="00E03090" w:rsidTr="00F437CE">
        <w:tc>
          <w:tcPr>
            <w:tcW w:w="1276" w:type="dxa"/>
            <w:shd w:val="clear" w:color="auto" w:fill="FFF2CC" w:themeFill="accent4" w:themeFillTint="33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類別編號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認證課程分類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認證時數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分類定義及內涵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第一類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遊療概論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或發展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4-5時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包含遊戲療</w:t>
            </w: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癒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力介紹、遊戲做為療</w:t>
            </w: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癒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媒介的相關生理、心理原理、</w:t>
            </w: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遊療於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世界及台灣發展為主的課程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第二類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遊療相關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理論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20-30時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含遊療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各式理論模式介紹為主的課程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第三類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遊療技巧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與方法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40-50時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含遊戲治療各類技巧、技術及方法應用介紹為主題的課程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第四類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遊療於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特殊族群或相關議題的應用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30-40時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以應</w:t>
            </w: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尸用遊療至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各類族群為主題的課程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第五類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遊療執行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之法律、倫理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6-10時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包含執行遊戲治療相關之法律、倫理議題、以及相關研究之課程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第六類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bookmarkStart w:id="1" w:name="_Hlk35105726"/>
            <w:r w:rsidRPr="00E03090">
              <w:rPr>
                <w:rFonts w:ascii="標楷體" w:eastAsia="標楷體" w:hAnsi="標楷體" w:cs="Times New Roman" w:hint="eastAsia"/>
                <w:szCs w:val="24"/>
              </w:rPr>
              <w:t>兒童青少年心理評估與診斷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15-30時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包含</w:t>
            </w: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應用遊療技術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或概念+於瞭解兒童青少年發展、心理評估或心理診斷之課程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第七類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03090">
              <w:rPr>
                <w:rFonts w:ascii="標楷體" w:eastAsia="標楷體" w:hAnsi="標楷體" w:cs="Times New Roman" w:hint="eastAsia"/>
                <w:szCs w:val="24"/>
              </w:rPr>
              <w:t>遊療督導</w:t>
            </w:r>
            <w:proofErr w:type="gramEnd"/>
            <w:r w:rsidRPr="00E03090">
              <w:rPr>
                <w:rFonts w:ascii="標楷體" w:eastAsia="標楷體" w:hAnsi="標楷體" w:cs="Times New Roman" w:hint="eastAsia"/>
                <w:szCs w:val="24"/>
              </w:rPr>
              <w:t>訓練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36時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Cs w:val="24"/>
              </w:rPr>
              <w:t>包含進行遊戲治療督導之相關模式或督導方法的課程</w:t>
            </w:r>
          </w:p>
        </w:tc>
      </w:tr>
      <w:tr w:rsidR="00050AF2" w:rsidRPr="00E03090" w:rsidTr="00F437CE"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 w:val="24"/>
                <w:szCs w:val="24"/>
              </w:rPr>
              <w:t>第八類</w:t>
            </w:r>
          </w:p>
        </w:tc>
        <w:tc>
          <w:tcPr>
            <w:tcW w:w="2268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 w:val="24"/>
                <w:szCs w:val="24"/>
              </w:rPr>
              <w:t>遊戲治療督導</w:t>
            </w:r>
          </w:p>
        </w:tc>
        <w:tc>
          <w:tcPr>
            <w:tcW w:w="1276" w:type="dxa"/>
          </w:tcPr>
          <w:p w:rsidR="00050AF2" w:rsidRPr="00E03090" w:rsidRDefault="00050AF2" w:rsidP="00F43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 w:val="24"/>
                <w:szCs w:val="24"/>
              </w:rPr>
              <w:t>彈性認列</w:t>
            </w:r>
          </w:p>
        </w:tc>
        <w:tc>
          <w:tcPr>
            <w:tcW w:w="5245" w:type="dxa"/>
          </w:tcPr>
          <w:p w:rsidR="00050AF2" w:rsidRPr="00E03090" w:rsidRDefault="00050AF2" w:rsidP="00F437CE">
            <w:pPr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03090">
              <w:rPr>
                <w:rFonts w:ascii="標楷體" w:eastAsia="標楷體" w:hAnsi="標楷體" w:cs="Times New Roman" w:hint="eastAsia"/>
                <w:sz w:val="24"/>
                <w:szCs w:val="24"/>
              </w:rPr>
              <w:t>包含遊戲治療實務個案或影片之團體督導或個別督導課程，團體督導提案者可認個別督導時數。參與者可彈性認列3、4、5類之時數。</w:t>
            </w:r>
          </w:p>
        </w:tc>
      </w:tr>
    </w:tbl>
    <w:bookmarkEnd w:id="1"/>
    <w:p w:rsidR="00050AF2" w:rsidRDefault="00050AF2" w:rsidP="00050AF2">
      <w:pPr>
        <w:ind w:leftChars="-295" w:left="-42" w:hangingChars="253" w:hanging="607"/>
        <w:rPr>
          <w:rFonts w:ascii="標楷體" w:eastAsia="標楷體" w:hAnsi="標楷體"/>
          <w:color w:val="000000" w:themeColor="text1"/>
          <w:sz w:val="24"/>
          <w:szCs w:val="24"/>
        </w:rPr>
      </w:pPr>
      <w:r w:rsidRPr="00E03090">
        <w:rPr>
          <w:rFonts w:ascii="標楷體" w:eastAsia="標楷體" w:hAnsi="標楷體" w:hint="eastAsia"/>
          <w:color w:val="000000" w:themeColor="text1"/>
          <w:sz w:val="24"/>
          <w:szCs w:val="24"/>
        </w:rPr>
        <w:t>（二） 國內外遊戲治療專業課程類別</w:t>
      </w:r>
      <w:proofErr w:type="gramStart"/>
      <w:r w:rsidRPr="00E03090">
        <w:rPr>
          <w:rFonts w:ascii="標楷體" w:eastAsia="標楷體" w:hAnsi="標楷體" w:hint="eastAsia"/>
          <w:color w:val="000000" w:themeColor="text1"/>
          <w:sz w:val="24"/>
          <w:szCs w:val="24"/>
        </w:rPr>
        <w:t>與課名</w:t>
      </w:r>
      <w:proofErr w:type="gramEnd"/>
      <w:r w:rsidRPr="00E03090">
        <w:rPr>
          <w:rFonts w:ascii="標楷體" w:eastAsia="標楷體" w:hAnsi="標楷體" w:hint="eastAsia"/>
          <w:color w:val="000000" w:themeColor="text1"/>
          <w:sz w:val="24"/>
          <w:szCs w:val="24"/>
        </w:rPr>
        <w:t>對照表</w:t>
      </w:r>
    </w:p>
    <w:tbl>
      <w:tblPr>
        <w:tblStyle w:val="a4"/>
        <w:tblW w:w="10065" w:type="dxa"/>
        <w:tblInd w:w="-714" w:type="dxa"/>
        <w:tblLook w:val="01E0" w:firstRow="1" w:lastRow="1" w:firstColumn="1" w:lastColumn="1" w:noHBand="0" w:noVBand="0"/>
      </w:tblPr>
      <w:tblGrid>
        <w:gridCol w:w="1276"/>
        <w:gridCol w:w="4111"/>
        <w:gridCol w:w="4678"/>
      </w:tblGrid>
      <w:tr w:rsidR="00050AF2" w:rsidRPr="009D0E6C" w:rsidTr="00F437CE">
        <w:tc>
          <w:tcPr>
            <w:tcW w:w="1276" w:type="dxa"/>
            <w:shd w:val="clear" w:color="auto" w:fill="FFF2CC" w:themeFill="accent4" w:themeFillTint="33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類別編號</w:t>
            </w:r>
          </w:p>
        </w:tc>
        <w:tc>
          <w:tcPr>
            <w:tcW w:w="8789" w:type="dxa"/>
            <w:gridSpan w:val="2"/>
            <w:shd w:val="clear" w:color="auto" w:fill="FFF2CC" w:themeFill="accent4" w:themeFillTint="33"/>
          </w:tcPr>
          <w:p w:rsidR="00050AF2" w:rsidRPr="009D0E6C" w:rsidRDefault="00050AF2" w:rsidP="00F437CE">
            <w:pPr>
              <w:pStyle w:val="a3"/>
              <w:ind w:leftChars="0" w:left="3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課程名稱</w:t>
            </w:r>
          </w:p>
        </w:tc>
      </w:tr>
      <w:tr w:rsidR="00050AF2" w:rsidRPr="009D0E6C" w:rsidTr="00F437CE">
        <w:tc>
          <w:tcPr>
            <w:tcW w:w="1276" w:type="dxa"/>
            <w:vMerge w:val="restart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第一類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遊療概論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第二類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與相關理論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遊戲治療專題研究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Intro Play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親子遊戲治療專題研究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Filial Therapy </w:t>
            </w:r>
          </w:p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Child Parent Relationship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遊戲治療理論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Theory Specific Play Therapy Courses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團體遊戲治療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Group Play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家族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家庭遊戲治療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Family Play Therapy</w:t>
            </w:r>
          </w:p>
        </w:tc>
      </w:tr>
      <w:tr w:rsidR="00050AF2" w:rsidRPr="009D0E6C" w:rsidTr="00F437CE">
        <w:tblPrEx>
          <w:tblLook w:val="04A0" w:firstRow="1" w:lastRow="0" w:firstColumn="1" w:lastColumn="0" w:noHBand="0" w:noVBand="1"/>
        </w:tblPrEx>
        <w:tc>
          <w:tcPr>
            <w:tcW w:w="1276" w:type="dxa"/>
            <w:vMerge w:val="restart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第三類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遊療技巧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與方法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4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活動治療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Activity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沙盤治療研究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Sandtray</w:t>
            </w:r>
            <w:proofErr w:type="spell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Play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表達藝術治療專題研究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Research in Expressive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動物輔助遊戲治療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Animal-Assisted Play Therapy</w:t>
            </w:r>
          </w:p>
        </w:tc>
      </w:tr>
      <w:tr w:rsidR="00050AF2" w:rsidRPr="009D0E6C" w:rsidTr="00F437CE">
        <w:tc>
          <w:tcPr>
            <w:tcW w:w="1276" w:type="dxa"/>
            <w:vMerge w:val="restart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第四類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遊療於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特殊族群或相關議題的應用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嬰幼兒遊戲治療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Play Therapy with infants, Toddlers and Preschoolers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-59" w:left="-130" w:firstLineChars="71" w:firstLine="17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各年齡遊戲治療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Play and Play Therapy Across the Life Span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F437CE">
            <w:pPr>
              <w:pStyle w:val="a3"/>
              <w:ind w:leftChars="0" w:left="26" w:rightChars="309" w:right="6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學校諮商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Elementary School counseling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F437CE">
            <w:pPr>
              <w:pStyle w:val="a3"/>
              <w:ind w:leftChars="0" w:left="26" w:rightChars="309" w:right="6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□ 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學校遊戲治療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Play Therapy in the Schools  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特殊族群遊戲治療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Play Therapy with Special Populations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多元文化遊戲治療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Multicultural Play Therapy</w:t>
            </w:r>
          </w:p>
        </w:tc>
      </w:tr>
      <w:tr w:rsidR="00050AF2" w:rsidRPr="009D0E6C" w:rsidTr="00F437CE">
        <w:tc>
          <w:tcPr>
            <w:tcW w:w="1276" w:type="dxa"/>
            <w:vMerge w:val="restart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第五類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遊療執行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之法律、倫理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進階諮商專題研究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以遊療為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主題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Advanced Play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獨立研究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以遊療為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論文主題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Research in Play Therapy</w:t>
            </w:r>
          </w:p>
        </w:tc>
      </w:tr>
      <w:tr w:rsidR="00050AF2" w:rsidRPr="009D0E6C" w:rsidTr="00F437CE">
        <w:tc>
          <w:tcPr>
            <w:tcW w:w="1276" w:type="dxa"/>
            <w:vMerge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其他與執行遊戲治療相關之法律、倫理議題相關課程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AF2" w:rsidRPr="009D0E6C" w:rsidTr="00F437CE">
        <w:tc>
          <w:tcPr>
            <w:tcW w:w="1276" w:type="dxa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第六類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兒童青少年心理評估與診斷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314" w:hanging="3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兒童青少年異常行為診斷</w:t>
            </w:r>
          </w:p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326" w:hanging="3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兒童青少年心理衡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鑑</w:t>
            </w:r>
            <w:proofErr w:type="gramEnd"/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Child and Adolescent Appraisal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0AF2" w:rsidRPr="009D0E6C" w:rsidTr="00F437CE">
        <w:tc>
          <w:tcPr>
            <w:tcW w:w="1276" w:type="dxa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第七類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遊戲治療督導訓練</w:t>
            </w:r>
          </w:p>
        </w:tc>
        <w:tc>
          <w:tcPr>
            <w:tcW w:w="4111" w:type="dxa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□ 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遊戲治療督導</w:t>
            </w:r>
          </w:p>
        </w:tc>
        <w:tc>
          <w:tcPr>
            <w:tcW w:w="4678" w:type="dxa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Play Therapy Supervision </w:t>
            </w:r>
          </w:p>
        </w:tc>
      </w:tr>
      <w:tr w:rsidR="00050AF2" w:rsidRPr="009D0E6C" w:rsidTr="00F437CE">
        <w:tc>
          <w:tcPr>
            <w:tcW w:w="1276" w:type="dxa"/>
            <w:shd w:val="clear" w:color="auto" w:fill="FFFFFF" w:themeFill="background1"/>
          </w:tcPr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第八類</w:t>
            </w:r>
          </w:p>
          <w:p w:rsidR="00050AF2" w:rsidRPr="009D0E6C" w:rsidRDefault="00050AF2" w:rsidP="00F437C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遊戲治療實習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050AF2" w:rsidRPr="009D0E6C" w:rsidRDefault="00050AF2" w:rsidP="00050AF2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321" w:hanging="3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諮商實習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以遊療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為主之實習機構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小學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兒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諮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中心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醫療院</w:t>
            </w:r>
            <w:proofErr w:type="gramStart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所兒青</w:t>
            </w:r>
            <w:proofErr w:type="gramEnd"/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門診</w:t>
            </w:r>
          </w:p>
          <w:p w:rsidR="00050AF2" w:rsidRPr="009D0E6C" w:rsidRDefault="00050AF2" w:rsidP="00F437CE">
            <w:pPr>
              <w:pStyle w:val="a3"/>
              <w:ind w:leftChars="0" w:left="3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社區諮商所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治療所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9D0E6C">
              <w:rPr>
                <w:rFonts w:ascii="Times New Roman" w:eastAsia="標楷體" w:hAnsi="Times New Roman" w:cs="Times New Roman"/>
                <w:sz w:val="24"/>
                <w:szCs w:val="24"/>
              </w:rPr>
              <w:t>__________)</w:t>
            </w:r>
          </w:p>
        </w:tc>
      </w:tr>
    </w:tbl>
    <w:p w:rsidR="00050AF2" w:rsidRPr="009D0E6C" w:rsidRDefault="00050AF2" w:rsidP="00050AF2">
      <w:pPr>
        <w:ind w:leftChars="-295" w:left="-42" w:hangingChars="253" w:hanging="607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631107" w:rsidRPr="00050AF2" w:rsidRDefault="00631107"/>
    <w:sectPr w:rsidR="00631107" w:rsidRPr="00050A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FC2"/>
    <w:multiLevelType w:val="hybridMultilevel"/>
    <w:tmpl w:val="BF689520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B6510"/>
    <w:multiLevelType w:val="hybridMultilevel"/>
    <w:tmpl w:val="B944DD38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BD064F"/>
    <w:multiLevelType w:val="hybridMultilevel"/>
    <w:tmpl w:val="82DCA8BA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3F3FAA"/>
    <w:multiLevelType w:val="hybridMultilevel"/>
    <w:tmpl w:val="35B27BCE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2C4260DA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595FDE"/>
    <w:multiLevelType w:val="hybridMultilevel"/>
    <w:tmpl w:val="39B072FA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F759CB"/>
    <w:multiLevelType w:val="hybridMultilevel"/>
    <w:tmpl w:val="68C849A2"/>
    <w:lvl w:ilvl="0" w:tplc="2C4260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185877"/>
    <w:multiLevelType w:val="hybridMultilevel"/>
    <w:tmpl w:val="8B8AC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2"/>
    <w:rsid w:val="00050AF2"/>
    <w:rsid w:val="00307F66"/>
    <w:rsid w:val="00424DA8"/>
    <w:rsid w:val="00611D1F"/>
    <w:rsid w:val="00631107"/>
    <w:rsid w:val="006F5B90"/>
    <w:rsid w:val="00A80C2B"/>
    <w:rsid w:val="00A9326C"/>
    <w:rsid w:val="00BD1422"/>
    <w:rsid w:val="00CC3EF9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1F83"/>
  <w15:chartTrackingRefBased/>
  <w15:docId w15:val="{A5AE6DC2-3145-4BF5-87A2-8CDE289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AF2"/>
    <w:pPr>
      <w:widowControl w:val="0"/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F2"/>
    <w:pPr>
      <w:ind w:leftChars="200" w:left="480"/>
    </w:pPr>
  </w:style>
  <w:style w:type="table" w:styleId="a4">
    <w:name w:val="Table Grid"/>
    <w:basedOn w:val="a1"/>
    <w:uiPriority w:val="39"/>
    <w:rsid w:val="0005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05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林詩恩</dc:creator>
  <cp:keywords/>
  <dc:description/>
  <cp:lastModifiedBy>林詩恩</cp:lastModifiedBy>
  <cp:revision>2</cp:revision>
  <dcterms:created xsi:type="dcterms:W3CDTF">2020-10-25T08:20:00Z</dcterms:created>
  <dcterms:modified xsi:type="dcterms:W3CDTF">2020-10-25T09:57:00Z</dcterms:modified>
</cp:coreProperties>
</file>